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4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92" w:lineRule="exact"/>
        <w:rPr>
          <w:sz w:val="24"/>
          <w:szCs w:val="24"/>
          <w:color w:val="auto"/>
        </w:rPr>
      </w:pPr>
    </w:p>
    <w:p>
      <w:pPr>
        <w:jc w:val="center"/>
        <w:ind w:right="-106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36"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0" w:lineRule="exact"/>
        <w:rPr>
          <w:sz w:val="24"/>
          <w:szCs w:val="24"/>
          <w:color w:val="auto"/>
        </w:rPr>
      </w:pPr>
    </w:p>
    <w:p>
      <w:pPr>
        <w:spacing w:after="0" w:line="223" w:lineRule="exact"/>
        <w:rPr>
          <w:sz w:val="24"/>
          <w:szCs w:val="24"/>
          <w:color w:val="auto"/>
        </w:rPr>
      </w:pPr>
    </w:p>
    <w:p>
      <w:pPr>
        <w:ind w:left="4380"/>
        <w:spacing w:after="0"/>
        <w:rPr>
          <w:sz w:val="20"/>
          <w:szCs w:val="20"/>
          <w:color w:val="auto"/>
        </w:rPr>
      </w:pPr>
      <w:r>
        <w:rPr>
          <w:rFonts w:ascii="Times New Roman" w:cs="Times New Roman" w:eastAsia="Times New Roman" w:hAnsi="Times New Roman"/>
          <w:sz w:val="18"/>
          <w:szCs w:val="18"/>
          <w:color w:val="auto"/>
        </w:rPr>
        <w:t>For the month of September, 2020</w:t>
      </w:r>
    </w:p>
    <w:p>
      <w:pPr>
        <w:spacing w:after="0" w:line="225" w:lineRule="exact"/>
        <w:rPr>
          <w:sz w:val="24"/>
          <w:szCs w:val="24"/>
          <w:color w:val="auto"/>
        </w:rPr>
      </w:pPr>
    </w:p>
    <w:p>
      <w:pPr>
        <w:ind w:left="438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00" w:lineRule="exact"/>
        <w:rPr>
          <w:sz w:val="24"/>
          <w:szCs w:val="24"/>
          <w:color w:val="auto"/>
        </w:rPr>
      </w:pPr>
    </w:p>
    <w:p>
      <w:pPr>
        <w:spacing w:after="0" w:line="23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6" w:lineRule="exact"/>
        <w:rPr>
          <w:sz w:val="24"/>
          <w:szCs w:val="24"/>
          <w:color w:val="auto"/>
        </w:rPr>
      </w:pPr>
    </w:p>
    <w:p>
      <w:pPr>
        <w:ind w:left="4460"/>
        <w:spacing w:after="0" w:line="207" w:lineRule="exact"/>
        <w:tabs>
          <w:tab w:leader="none" w:pos="574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8"/>
          <w:szCs w:val="18"/>
          <w:color w:val="auto"/>
        </w:rPr>
        <w:t xml:space="preserve">Form 40-F </w:t>
      </w:r>
      <w:r>
        <w:rPr>
          <w:rFonts w:ascii="MS PGothic" w:cs="MS PGothic" w:eastAsia="MS PGothic" w:hAnsi="MS PGothic"/>
          <w:sz w:val="18"/>
          <w:szCs w:val="18"/>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6" w:lineRule="exact"/>
        <w:rPr>
          <w:sz w:val="24"/>
          <w:szCs w:val="24"/>
          <w:color w:val="auto"/>
        </w:rPr>
      </w:pPr>
    </w:p>
    <w:p>
      <w:pPr>
        <w:ind w:left="5020"/>
        <w:spacing w:after="0" w:line="207" w:lineRule="exact"/>
        <w:tabs>
          <w:tab w:leader="none" w:pos="574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ab/>
        <w:t xml:space="preserve">No </w:t>
      </w:r>
      <w:r>
        <w:rPr>
          <w:rFonts w:ascii="MS PGothic" w:cs="MS PGothic" w:eastAsia="MS PGothic" w:hAnsi="MS PGothic"/>
          <w:sz w:val="18"/>
          <w:szCs w:val="18"/>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6" w:lineRule="exact"/>
        <w:rPr>
          <w:sz w:val="24"/>
          <w:szCs w:val="24"/>
          <w:color w:val="auto"/>
        </w:rPr>
      </w:pPr>
    </w:p>
    <w:p>
      <w:pPr>
        <w:ind w:left="5020"/>
        <w:spacing w:after="0" w:line="207" w:lineRule="exact"/>
        <w:tabs>
          <w:tab w:leader="none" w:pos="574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ab/>
        <w:t xml:space="preserve">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344170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361315</wp:posOffset>
            </wp:positionV>
            <wp:extent cx="71323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1090295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664"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3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September 15, 2020</w:t>
      </w:r>
    </w:p>
    <w:p>
      <w:pPr>
        <w:spacing w:after="0" w:line="252" w:lineRule="exact"/>
        <w:rPr>
          <w:sz w:val="20"/>
          <w:szCs w:val="20"/>
          <w:color w:val="auto"/>
        </w:rPr>
      </w:pPr>
    </w:p>
    <w:p>
      <w:pPr>
        <w:ind w:left="508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34" w:lineRule="exact"/>
        <w:rPr>
          <w:sz w:val="20"/>
          <w:szCs w:val="20"/>
          <w:color w:val="auto"/>
        </w:rPr>
      </w:pPr>
    </w:p>
    <w:p>
      <w:pPr>
        <w:ind w:left="508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27"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17145</wp:posOffset>
            </wp:positionV>
            <wp:extent cx="33515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19"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7" w:lineRule="exact"/>
        <w:rPr>
          <w:sz w:val="20"/>
          <w:szCs w:val="20"/>
          <w:color w:val="auto"/>
        </w:rPr>
      </w:pPr>
    </w:p>
    <w:p>
      <w:pPr>
        <w:ind w:left="5640"/>
        <w:spacing w:after="0"/>
        <w:tabs>
          <w:tab w:leader="none" w:pos="6180" w:val="left"/>
        </w:tabs>
        <w:rPr>
          <w:sz w:val="20"/>
          <w:szCs w:val="20"/>
          <w:color w:val="auto"/>
        </w:rPr>
      </w:pPr>
      <w:r>
        <w:rPr>
          <w:rFonts w:ascii="Times New Roman" w:cs="Times New Roman" w:eastAsia="Times New Roman" w:hAnsi="Times New Roman"/>
          <w:sz w:val="18"/>
          <w:szCs w:val="18"/>
          <w:color w:val="auto"/>
        </w:rPr>
        <w:t>Title:</w:t>
      </w:r>
      <w:r>
        <w:rPr>
          <w:sz w:val="20"/>
          <w:szCs w:val="20"/>
          <w:color w:val="auto"/>
        </w:rPr>
        <w:tab/>
      </w:r>
      <w:r>
        <w:rPr>
          <w:rFonts w:ascii="Times New Roman" w:cs="Times New Roman" w:eastAsia="Times New Roman" w:hAnsi="Times New Roman"/>
          <w:sz w:val="17"/>
          <w:szCs w:val="17"/>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571500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2934335</wp:posOffset>
            </wp:positionH>
            <wp:positionV relativeFrom="page">
              <wp:posOffset>448945</wp:posOffset>
            </wp:positionV>
            <wp:extent cx="1714500" cy="6940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1714500" cy="694055"/>
                    </a:xfrm>
                    <a:prstGeom prst="rect">
                      <a:avLst/>
                    </a:prstGeom>
                    <a:noFill/>
                  </pic:spPr>
                </pic:pic>
              </a:graphicData>
            </a:graphic>
          </wp:anchor>
        </w:drawing>
      </w:r>
    </w:p>
    <w:p>
      <w:pPr>
        <w:spacing w:after="0" w:line="39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BLADEX SUCCESSFULLY PLACES NEW ISSUE IN THE INTERNATIONAL CAPITAL MARKET</w:t>
      </w:r>
    </w:p>
    <w:p>
      <w:pPr>
        <w:spacing w:after="0" w:line="301"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Panama City, Republic of Panama, September 9, 2020 </w:t>
      </w:r>
      <w:r>
        <w:rPr>
          <w:rFonts w:ascii="Times New Roman" w:cs="Times New Roman" w:eastAsia="Times New Roman" w:hAnsi="Times New Roman"/>
          <w:sz w:val="18"/>
          <w:szCs w:val="18"/>
          <w:color w:val="auto"/>
        </w:rPr>
        <w:t>- Banco Latinoamericano de Comercio Exterior, S.A. (“Bladex” or the “Bank”), announced today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its third issue in the 144A/Reg S market for US$400 million. The five-year term bonds pay a fixed rate coupon of 2.375%.</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Mr. Eduardo Vivone, Executive Vice President of Treasury and Capital Markets, commented: "We are very pleased with the success of this new bond issuance, which was oversubscribed more than four times and attracted investors from the United States, Europe, Asia, and Latin America. Due to the strong demand, the bond could be placed at the lowest coupon of all 144A/Reg S issued by Bladex. With this transaction, we will continue to strengthen and diversify our funding base, which has categorically demonstrated its high stability and resilience in the current environment.”</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Mr. Jorge Salas, Bladex CEO, stated: “The strong demand clearly demonstrates investor confidence in the strength and versatility of Bladex's business model to successfully face the challenging global economic environment. We are aware of the important role that we are called to play in these demanding times that Latin America is going through, and these new resources will enable Bladex to continue supporting its clients in a decisive manner, to fulfill our mission of promoting foreign trade and regional integration. On a final note, I would like to express our appreciation to the underwriting banks, whose efficient performance was essential for the successful completion of this new transaction.”</w:t>
      </w:r>
    </w:p>
    <w:p>
      <w:pPr>
        <w:spacing w:after="0" w:line="183"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Bank of America, SMBC Nikko Securities and Mizuho Securities acted as Bookrunners. The bonds were rated Baa2 by Moody’s Investors Service and BBB by S&amp;P Global Ratings.</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 xml:space="preserve">For further information on Bladex, please access its website at </w:t>
      </w:r>
      <w:r>
        <w:rPr>
          <w:rFonts w:ascii="Times New Roman" w:cs="Times New Roman" w:eastAsia="Times New Roman" w:hAnsi="Times New Roman"/>
          <w:sz w:val="18"/>
          <w:szCs w:val="18"/>
          <w:u w:val="single" w:color="auto"/>
          <w:color w:val="0000FF"/>
        </w:rPr>
        <w:t>www.bladex.com</w:t>
      </w:r>
      <w:r>
        <w:rPr>
          <w:rFonts w:ascii="Times New Roman" w:cs="Times New Roman" w:eastAsia="Times New Roman" w:hAnsi="Times New Roman"/>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647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647065"/>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Annette vH de Solís - Senior Vicepresident | ALM &amp; Funding</w:t>
      </w:r>
    </w:p>
    <w:p>
      <w:pPr>
        <w:spacing w:after="0" w:line="27"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E-mail address: asolis@bladex.com. Tel.: +507-210-8560</w:t>
      </w:r>
    </w:p>
    <w:p>
      <w:pPr>
        <w:spacing w:after="0" w:line="9"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Times New Roman" w:cs="Times New Roman" w:eastAsia="Times New Roman" w:hAnsi="Times New Roman"/>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777240</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2020-09-15T15:56:01Z</dcterms:created>
  <dcterms:modified xsi:type="dcterms:W3CDTF">2020-09-15T15:56:01Z</dcterms:modified>
</cp:coreProperties>
</file>